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DA71" w14:textId="77777777" w:rsidR="001F1450" w:rsidRDefault="001F1450" w:rsidP="000534C0">
      <w:pPr>
        <w:rPr>
          <w:rFonts w:ascii="Arial" w:hAnsi="Arial" w:cs="Arial"/>
        </w:rPr>
      </w:pPr>
    </w:p>
    <w:p w14:paraId="6E262872" w14:textId="77777777" w:rsidR="00A0655C" w:rsidRDefault="00A0655C" w:rsidP="000534C0">
      <w:pPr>
        <w:rPr>
          <w:rFonts w:ascii="Arial" w:hAnsi="Arial" w:cs="Arial"/>
        </w:rPr>
      </w:pPr>
    </w:p>
    <w:p w14:paraId="48EA7FF2" w14:textId="77777777" w:rsidR="00A0655C" w:rsidRDefault="00A0655C" w:rsidP="000534C0">
      <w:pPr>
        <w:rPr>
          <w:rFonts w:ascii="Arial" w:hAnsi="Arial" w:cs="Arial"/>
        </w:rPr>
      </w:pPr>
    </w:p>
    <w:p w14:paraId="673B3B5B" w14:textId="77777777" w:rsidR="00A0655C" w:rsidRPr="00EC26E1" w:rsidRDefault="00A0655C" w:rsidP="00EC26E1">
      <w:pPr>
        <w:spacing w:after="0"/>
        <w:rPr>
          <w:rFonts w:ascii="Arial" w:hAnsi="Arial" w:cs="Arial"/>
          <w:b/>
        </w:rPr>
      </w:pPr>
    </w:p>
    <w:p w14:paraId="66610718" w14:textId="77777777" w:rsidR="00A0655C" w:rsidRPr="00EC26E1" w:rsidRDefault="00A0655C" w:rsidP="00EC26E1">
      <w:pPr>
        <w:spacing w:after="0"/>
        <w:rPr>
          <w:rFonts w:ascii="Arial" w:hAnsi="Arial" w:cs="Arial"/>
          <w:b/>
        </w:rPr>
      </w:pPr>
      <w:r w:rsidRPr="00EC26E1">
        <w:rPr>
          <w:rFonts w:ascii="Arial" w:hAnsi="Arial" w:cs="Arial"/>
          <w:b/>
        </w:rPr>
        <w:tab/>
      </w:r>
      <w:r w:rsidRPr="00EC26E1">
        <w:rPr>
          <w:rFonts w:ascii="Arial" w:hAnsi="Arial" w:cs="Arial"/>
          <w:b/>
        </w:rPr>
        <w:tab/>
      </w:r>
      <w:r w:rsidRPr="00EC26E1">
        <w:rPr>
          <w:rFonts w:ascii="Arial" w:hAnsi="Arial" w:cs="Arial"/>
          <w:b/>
        </w:rPr>
        <w:tab/>
      </w:r>
      <w:r w:rsidRPr="00EC26E1">
        <w:rPr>
          <w:rFonts w:ascii="Arial" w:hAnsi="Arial" w:cs="Arial"/>
          <w:b/>
        </w:rPr>
        <w:tab/>
      </w:r>
      <w:r w:rsidRPr="00EC26E1">
        <w:rPr>
          <w:rFonts w:ascii="Arial" w:hAnsi="Arial" w:cs="Arial"/>
          <w:b/>
        </w:rPr>
        <w:tab/>
      </w:r>
      <w:r w:rsidRPr="00EC26E1">
        <w:rPr>
          <w:rFonts w:ascii="Arial" w:hAnsi="Arial" w:cs="Arial"/>
          <w:b/>
        </w:rPr>
        <w:tab/>
        <w:t>Monsieur Jean-Bernard Levy</w:t>
      </w:r>
    </w:p>
    <w:p w14:paraId="335A1948" w14:textId="77777777" w:rsidR="00EC26E1" w:rsidRPr="00EC26E1" w:rsidRDefault="00EC26E1" w:rsidP="00EC26E1">
      <w:pPr>
        <w:spacing w:after="0"/>
        <w:rPr>
          <w:rFonts w:ascii="Arial" w:hAnsi="Arial" w:cs="Arial"/>
          <w:b/>
        </w:rPr>
      </w:pPr>
      <w:r w:rsidRPr="00EC26E1">
        <w:rPr>
          <w:rFonts w:ascii="Arial" w:hAnsi="Arial" w:cs="Arial"/>
          <w:b/>
        </w:rPr>
        <w:tab/>
      </w:r>
      <w:r w:rsidRPr="00EC26E1">
        <w:rPr>
          <w:rFonts w:ascii="Arial" w:hAnsi="Arial" w:cs="Arial"/>
          <w:b/>
        </w:rPr>
        <w:tab/>
      </w:r>
      <w:r w:rsidRPr="00EC26E1">
        <w:rPr>
          <w:rFonts w:ascii="Arial" w:hAnsi="Arial" w:cs="Arial"/>
          <w:b/>
        </w:rPr>
        <w:tab/>
      </w:r>
      <w:r w:rsidRPr="00EC26E1">
        <w:rPr>
          <w:rFonts w:ascii="Arial" w:hAnsi="Arial" w:cs="Arial"/>
          <w:b/>
        </w:rPr>
        <w:tab/>
      </w:r>
      <w:r w:rsidRPr="00EC26E1">
        <w:rPr>
          <w:rFonts w:ascii="Arial" w:hAnsi="Arial" w:cs="Arial"/>
          <w:b/>
        </w:rPr>
        <w:tab/>
      </w:r>
      <w:r w:rsidRPr="00EC26E1">
        <w:rPr>
          <w:rFonts w:ascii="Arial" w:hAnsi="Arial" w:cs="Arial"/>
          <w:b/>
        </w:rPr>
        <w:tab/>
        <w:t>Président Directeur Général</w:t>
      </w:r>
    </w:p>
    <w:p w14:paraId="2288B8C6" w14:textId="77777777" w:rsidR="00EC26E1" w:rsidRPr="00EC26E1" w:rsidRDefault="00EC26E1" w:rsidP="00EC26E1">
      <w:pPr>
        <w:spacing w:after="0"/>
        <w:rPr>
          <w:rFonts w:ascii="Arial" w:hAnsi="Arial" w:cs="Arial"/>
          <w:b/>
        </w:rPr>
      </w:pPr>
      <w:r w:rsidRPr="00EC26E1">
        <w:rPr>
          <w:rFonts w:ascii="Arial" w:hAnsi="Arial" w:cs="Arial"/>
          <w:b/>
        </w:rPr>
        <w:tab/>
      </w:r>
      <w:r w:rsidRPr="00EC26E1">
        <w:rPr>
          <w:rFonts w:ascii="Arial" w:hAnsi="Arial" w:cs="Arial"/>
          <w:b/>
        </w:rPr>
        <w:tab/>
      </w:r>
      <w:r w:rsidRPr="00EC26E1">
        <w:rPr>
          <w:rFonts w:ascii="Arial" w:hAnsi="Arial" w:cs="Arial"/>
          <w:b/>
        </w:rPr>
        <w:tab/>
      </w:r>
      <w:r w:rsidRPr="00EC26E1">
        <w:rPr>
          <w:rFonts w:ascii="Arial" w:hAnsi="Arial" w:cs="Arial"/>
          <w:b/>
        </w:rPr>
        <w:tab/>
      </w:r>
      <w:r w:rsidRPr="00EC26E1">
        <w:rPr>
          <w:rFonts w:ascii="Arial" w:hAnsi="Arial" w:cs="Arial"/>
          <w:b/>
        </w:rPr>
        <w:tab/>
      </w:r>
      <w:r w:rsidRPr="00EC26E1">
        <w:rPr>
          <w:rFonts w:ascii="Arial" w:hAnsi="Arial" w:cs="Arial"/>
          <w:b/>
        </w:rPr>
        <w:tab/>
        <w:t>EDF</w:t>
      </w:r>
    </w:p>
    <w:p w14:paraId="722540B2" w14:textId="77777777" w:rsidR="001B6435" w:rsidRPr="000534C0" w:rsidRDefault="00A0655C" w:rsidP="000534C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A2FD26B" w14:textId="77777777" w:rsidR="001B6435" w:rsidRPr="000534C0" w:rsidRDefault="00EC26E1" w:rsidP="000534C0">
      <w:pPr>
        <w:rPr>
          <w:rFonts w:ascii="Arial" w:hAnsi="Arial" w:cs="Arial"/>
        </w:rPr>
      </w:pPr>
      <w:r>
        <w:rPr>
          <w:rFonts w:ascii="Arial" w:hAnsi="Arial" w:cs="Arial"/>
        </w:rPr>
        <w:t>jean-bernard.levy@edf.fr</w:t>
      </w:r>
    </w:p>
    <w:p w14:paraId="37A8201F" w14:textId="77777777" w:rsidR="00EC26E1" w:rsidRDefault="00727FD3" w:rsidP="000534C0">
      <w:pPr>
        <w:rPr>
          <w:rFonts w:ascii="Arial" w:hAnsi="Arial" w:cs="Arial"/>
        </w:rPr>
      </w:pPr>
      <w:r>
        <w:rPr>
          <w:rFonts w:ascii="Arial" w:hAnsi="Arial" w:cs="Arial"/>
        </w:rPr>
        <w:t>CC</w:t>
      </w:r>
      <w:r w:rsidR="000E4467">
        <w:rPr>
          <w:rFonts w:ascii="Arial" w:hAnsi="Arial" w:cs="Arial"/>
        </w:rPr>
        <w:t>:</w:t>
      </w:r>
      <w:r>
        <w:rPr>
          <w:rFonts w:ascii="Arial" w:hAnsi="Arial" w:cs="Arial"/>
        </w:rPr>
        <w:t xml:space="preserve"> </w:t>
      </w:r>
      <w:r w:rsidR="00EC26E1">
        <w:rPr>
          <w:rFonts w:ascii="Arial" w:hAnsi="Arial" w:cs="Arial"/>
        </w:rPr>
        <w:t>b.durupt@amf-france.org</w:t>
      </w:r>
    </w:p>
    <w:p w14:paraId="47E52984" w14:textId="77777777" w:rsidR="00EC26E1" w:rsidRDefault="000E4467" w:rsidP="000534C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Chartres, le 18 août 2022</w:t>
      </w:r>
    </w:p>
    <w:p w14:paraId="3D768824" w14:textId="77777777" w:rsidR="001B6435" w:rsidRPr="000534C0" w:rsidRDefault="005D3548" w:rsidP="000534C0">
      <w:pPr>
        <w:rPr>
          <w:rFonts w:ascii="Arial" w:hAnsi="Arial" w:cs="Arial"/>
        </w:rPr>
      </w:pPr>
      <w:r w:rsidRPr="000534C0">
        <w:rPr>
          <w:rFonts w:ascii="Arial" w:hAnsi="Arial" w:cs="Arial"/>
        </w:rPr>
        <w:t xml:space="preserve"> </w:t>
      </w:r>
    </w:p>
    <w:p w14:paraId="0751A918" w14:textId="77777777" w:rsidR="001B6435" w:rsidRDefault="001B6435" w:rsidP="00D30E4B">
      <w:pPr>
        <w:jc w:val="both"/>
        <w:rPr>
          <w:rFonts w:ascii="Arial" w:hAnsi="Arial" w:cs="Arial"/>
        </w:rPr>
      </w:pPr>
      <w:r w:rsidRPr="000534C0">
        <w:rPr>
          <w:rFonts w:ascii="Arial" w:hAnsi="Arial" w:cs="Arial"/>
        </w:rPr>
        <w:t xml:space="preserve">Monsieur le Président, </w:t>
      </w:r>
    </w:p>
    <w:p w14:paraId="62D0B34A" w14:textId="77777777" w:rsidR="00884240" w:rsidRPr="000534C0" w:rsidRDefault="00884240" w:rsidP="00D30E4B">
      <w:pPr>
        <w:jc w:val="both"/>
        <w:rPr>
          <w:rFonts w:ascii="Arial" w:hAnsi="Arial" w:cs="Arial"/>
        </w:rPr>
      </w:pPr>
      <w:r>
        <w:rPr>
          <w:rFonts w:ascii="Arial" w:hAnsi="Arial" w:cs="Arial"/>
        </w:rPr>
        <w:t>J’ai l’honneur d</w:t>
      </w:r>
      <w:r w:rsidR="00DE796A">
        <w:rPr>
          <w:rFonts w:ascii="Arial" w:hAnsi="Arial" w:cs="Arial"/>
        </w:rPr>
        <w:t>e</w:t>
      </w:r>
      <w:r>
        <w:rPr>
          <w:rFonts w:ascii="Arial" w:hAnsi="Arial" w:cs="Arial"/>
        </w:rPr>
        <w:t xml:space="preserve"> porter à votre connaissance qu’un certain nombre d’actionnaires</w:t>
      </w:r>
      <w:r w:rsidR="00727FD3">
        <w:rPr>
          <w:rFonts w:ascii="Arial" w:hAnsi="Arial" w:cs="Arial"/>
        </w:rPr>
        <w:t xml:space="preserve"> d’Electricité de France (« </w:t>
      </w:r>
      <w:r w:rsidR="00727FD3" w:rsidRPr="00727FD3">
        <w:rPr>
          <w:rFonts w:ascii="Arial" w:hAnsi="Arial" w:cs="Arial"/>
          <w:b/>
        </w:rPr>
        <w:t>EDF</w:t>
      </w:r>
      <w:r w:rsidR="00727FD3">
        <w:rPr>
          <w:rFonts w:ascii="Arial" w:hAnsi="Arial" w:cs="Arial"/>
        </w:rPr>
        <w:t> »)</w:t>
      </w:r>
      <w:r w:rsidR="00D30E4B">
        <w:rPr>
          <w:rFonts w:ascii="Arial" w:hAnsi="Arial" w:cs="Arial"/>
        </w:rPr>
        <w:t xml:space="preserve"> de toutes catégories (individuels, salariés, </w:t>
      </w:r>
      <w:r w:rsidR="0047741D">
        <w:rPr>
          <w:rFonts w:ascii="Arial" w:hAnsi="Arial" w:cs="Arial"/>
        </w:rPr>
        <w:t>placements collectifs)</w:t>
      </w:r>
      <w:r>
        <w:rPr>
          <w:rFonts w:ascii="Arial" w:hAnsi="Arial" w:cs="Arial"/>
        </w:rPr>
        <w:t xml:space="preserve"> m’ont demandé d’effectuer des démarches dan</w:t>
      </w:r>
      <w:r w:rsidR="00DE796A">
        <w:rPr>
          <w:rFonts w:ascii="Arial" w:hAnsi="Arial" w:cs="Arial"/>
        </w:rPr>
        <w:t>s le but de défendre leurs intérêts.</w:t>
      </w:r>
      <w:r>
        <w:rPr>
          <w:rFonts w:ascii="Arial" w:hAnsi="Arial" w:cs="Arial"/>
        </w:rPr>
        <w:t xml:space="preserve"> </w:t>
      </w:r>
      <w:r w:rsidR="00DE796A">
        <w:rPr>
          <w:rFonts w:ascii="Arial" w:hAnsi="Arial" w:cs="Arial"/>
        </w:rPr>
        <w:t xml:space="preserve">C’est dans ce contexte que je vous adresse ce courrier. </w:t>
      </w:r>
    </w:p>
    <w:p w14:paraId="7B7B1936" w14:textId="77777777" w:rsidR="001B6435" w:rsidRPr="000534C0" w:rsidRDefault="001B6435" w:rsidP="00D30E4B">
      <w:pPr>
        <w:jc w:val="both"/>
        <w:rPr>
          <w:rFonts w:ascii="Arial" w:hAnsi="Arial" w:cs="Arial"/>
        </w:rPr>
      </w:pPr>
      <w:r w:rsidRPr="000534C0">
        <w:rPr>
          <w:rFonts w:ascii="Arial" w:hAnsi="Arial" w:cs="Arial"/>
        </w:rPr>
        <w:t>Le 9 a</w:t>
      </w:r>
      <w:r w:rsidR="00DB7381" w:rsidRPr="000534C0">
        <w:rPr>
          <w:rFonts w:ascii="Arial" w:hAnsi="Arial" w:cs="Arial"/>
        </w:rPr>
        <w:t>oû</w:t>
      </w:r>
      <w:r w:rsidRPr="000534C0">
        <w:rPr>
          <w:rFonts w:ascii="Arial" w:hAnsi="Arial" w:cs="Arial"/>
        </w:rPr>
        <w:t>t dernier, EDF a pub</w:t>
      </w:r>
      <w:r w:rsidR="00727FD3">
        <w:rPr>
          <w:rFonts w:ascii="Arial" w:hAnsi="Arial" w:cs="Arial"/>
        </w:rPr>
        <w:t>lié un communiqué annonçant qu’</w:t>
      </w:r>
      <w:r w:rsidRPr="000534C0">
        <w:rPr>
          <w:rFonts w:ascii="Arial" w:hAnsi="Arial" w:cs="Arial"/>
        </w:rPr>
        <w:t>« </w:t>
      </w:r>
      <w:r w:rsidRPr="000534C0">
        <w:rPr>
          <w:rFonts w:ascii="Arial" w:hAnsi="Arial" w:cs="Arial"/>
          <w:i/>
        </w:rPr>
        <w:t xml:space="preserve">EDF a déposé ce jour un recours contentieux auprès du Conseil d’Etat et une demande indemnitaire pour un montant </w:t>
      </w:r>
      <w:r w:rsidR="00D30E4B" w:rsidRPr="000534C0">
        <w:rPr>
          <w:rFonts w:ascii="Arial" w:hAnsi="Arial" w:cs="Arial"/>
          <w:i/>
        </w:rPr>
        <w:t>estimé</w:t>
      </w:r>
      <w:r w:rsidRPr="000534C0">
        <w:rPr>
          <w:rFonts w:ascii="Arial" w:hAnsi="Arial" w:cs="Arial"/>
          <w:i/>
        </w:rPr>
        <w:t xml:space="preserve"> à date de 8,34 milliards d’euros, auprès de l’Etat </w:t>
      </w:r>
      <w:r w:rsidRPr="000534C0">
        <w:rPr>
          <w:rFonts w:ascii="Arial" w:hAnsi="Arial" w:cs="Arial"/>
        </w:rPr>
        <w:t xml:space="preserve">». </w:t>
      </w:r>
    </w:p>
    <w:p w14:paraId="3C832C12" w14:textId="77777777" w:rsidR="00BF04D4" w:rsidRPr="000534C0" w:rsidRDefault="00BF04D4" w:rsidP="00D30E4B">
      <w:pPr>
        <w:jc w:val="both"/>
        <w:rPr>
          <w:rFonts w:ascii="Arial" w:hAnsi="Arial" w:cs="Arial"/>
        </w:rPr>
      </w:pPr>
      <w:r w:rsidRPr="000534C0">
        <w:rPr>
          <w:rFonts w:ascii="Arial" w:hAnsi="Arial" w:cs="Arial"/>
        </w:rPr>
        <w:t>Beaucoup des lecteurs de ce communiqué, en raison de son caractère</w:t>
      </w:r>
      <w:r>
        <w:rPr>
          <w:rFonts w:ascii="Arial" w:hAnsi="Arial" w:cs="Arial"/>
        </w:rPr>
        <w:t xml:space="preserve"> </w:t>
      </w:r>
      <w:r w:rsidR="000159D6">
        <w:rPr>
          <w:rFonts w:ascii="Arial" w:hAnsi="Arial" w:cs="Arial"/>
        </w:rPr>
        <w:t>s</w:t>
      </w:r>
      <w:r w:rsidR="00870BB3">
        <w:rPr>
          <w:rFonts w:ascii="Arial" w:hAnsi="Arial" w:cs="Arial"/>
        </w:rPr>
        <w:t>iby</w:t>
      </w:r>
      <w:r w:rsidR="000159D6">
        <w:rPr>
          <w:rFonts w:ascii="Arial" w:hAnsi="Arial" w:cs="Arial"/>
        </w:rPr>
        <w:t>llin</w:t>
      </w:r>
      <w:r w:rsidRPr="000159D6">
        <w:rPr>
          <w:rFonts w:ascii="Arial" w:hAnsi="Arial" w:cs="Arial"/>
        </w:rPr>
        <w:t xml:space="preserve">, </w:t>
      </w:r>
      <w:r w:rsidR="00870BB3">
        <w:rPr>
          <w:rFonts w:ascii="Arial" w:hAnsi="Arial" w:cs="Arial"/>
        </w:rPr>
        <w:t xml:space="preserve">voire trompeur, </w:t>
      </w:r>
      <w:r w:rsidRPr="000159D6">
        <w:rPr>
          <w:rFonts w:ascii="Arial" w:hAnsi="Arial" w:cs="Arial"/>
        </w:rPr>
        <w:t xml:space="preserve">ont conclu qu’un recours indemnitaire avait été introduit par EDF contre l’Etat dans le but de lui réclamer la somme de 8,34 milliards d’euros, correspondant au montant estimé du préjudice subi par la société du fait de l’augmentation du volume d’électricité nucléaire qu’EDF doit fournir à bas prix aux fournisseurs alternatifs dans le cadre du mécanisme de l’ARENH. </w:t>
      </w:r>
      <w:r w:rsidR="00967E6B" w:rsidRPr="000159D6">
        <w:rPr>
          <w:rFonts w:ascii="Arial" w:hAnsi="Arial" w:cs="Arial"/>
        </w:rPr>
        <w:t>C</w:t>
      </w:r>
      <w:r w:rsidRPr="000159D6">
        <w:rPr>
          <w:rFonts w:ascii="Arial" w:hAnsi="Arial" w:cs="Arial"/>
        </w:rPr>
        <w:t xml:space="preserve">’est ainsi </w:t>
      </w:r>
      <w:r w:rsidR="00967E6B" w:rsidRPr="000159D6">
        <w:rPr>
          <w:rFonts w:ascii="Arial" w:hAnsi="Arial" w:cs="Arial"/>
        </w:rPr>
        <w:t xml:space="preserve">d’ailleurs </w:t>
      </w:r>
      <w:r w:rsidRPr="000159D6">
        <w:rPr>
          <w:rFonts w:ascii="Arial" w:hAnsi="Arial" w:cs="Arial"/>
        </w:rPr>
        <w:t>que l’information a aussitôt été relayée par la presse.</w:t>
      </w:r>
    </w:p>
    <w:p w14:paraId="0F3E8755" w14:textId="77777777" w:rsidR="00BF04D4" w:rsidRPr="000159D6" w:rsidRDefault="00BF04D4" w:rsidP="00D30E4B">
      <w:pPr>
        <w:jc w:val="both"/>
        <w:rPr>
          <w:rFonts w:ascii="Arial" w:hAnsi="Arial" w:cs="Arial"/>
        </w:rPr>
      </w:pPr>
      <w:r w:rsidRPr="000159D6">
        <w:rPr>
          <w:rFonts w:ascii="Arial" w:hAnsi="Arial" w:cs="Arial"/>
        </w:rPr>
        <w:t>Il n’en est pourtant rien : une demande indemnitaire est une démarche gracieuse effectuée préalablement à un recours contentieux, mais qui ne peut en aucun cas être considérée comme une «</w:t>
      </w:r>
      <w:r w:rsidRPr="000159D6">
        <w:rPr>
          <w:rFonts w:ascii="Arial" w:hAnsi="Arial" w:cs="Arial"/>
          <w:i/>
        </w:rPr>
        <w:t xml:space="preserve"> procédure pendante devant les tribunaux ». </w:t>
      </w:r>
    </w:p>
    <w:p w14:paraId="6CDA84B8" w14:textId="77777777" w:rsidR="00BF04D4" w:rsidRPr="000534C0" w:rsidRDefault="00BF04D4" w:rsidP="00D30E4B">
      <w:pPr>
        <w:jc w:val="both"/>
        <w:rPr>
          <w:rFonts w:ascii="Arial" w:hAnsi="Arial" w:cs="Arial"/>
        </w:rPr>
      </w:pPr>
      <w:r w:rsidRPr="000159D6">
        <w:rPr>
          <w:rFonts w:ascii="Arial" w:hAnsi="Arial" w:cs="Arial"/>
        </w:rPr>
        <w:t xml:space="preserve">Or, selon </w:t>
      </w:r>
      <w:r w:rsidR="003A26BB" w:rsidRPr="000159D6">
        <w:rPr>
          <w:rFonts w:ascii="Arial" w:hAnsi="Arial" w:cs="Arial"/>
        </w:rPr>
        <w:t xml:space="preserve">la pratique constante du régulateur, </w:t>
      </w:r>
      <w:r w:rsidRPr="000159D6">
        <w:rPr>
          <w:rFonts w:ascii="Arial" w:hAnsi="Arial" w:cs="Arial"/>
        </w:rPr>
        <w:t>confirmée par la</w:t>
      </w:r>
      <w:r w:rsidR="003A26BB" w:rsidRPr="000159D6">
        <w:rPr>
          <w:rFonts w:ascii="Arial" w:hAnsi="Arial" w:cs="Arial"/>
        </w:rPr>
        <w:t xml:space="preserve"> jurisprudence de la</w:t>
      </w:r>
      <w:r w:rsidRPr="000159D6">
        <w:rPr>
          <w:rFonts w:ascii="Arial" w:hAnsi="Arial" w:cs="Arial"/>
        </w:rPr>
        <w:t xml:space="preserve"> Cour d’appel de Paris, </w:t>
      </w:r>
      <w:r w:rsidR="00727FD3" w:rsidRPr="000159D6">
        <w:rPr>
          <w:rFonts w:ascii="Arial" w:hAnsi="Arial" w:cs="Arial"/>
        </w:rPr>
        <w:t>l’Autorité des Marchés Financiers (« </w:t>
      </w:r>
      <w:r w:rsidR="00727FD3" w:rsidRPr="000159D6">
        <w:rPr>
          <w:rFonts w:ascii="Arial" w:hAnsi="Arial" w:cs="Arial"/>
          <w:b/>
        </w:rPr>
        <w:t>AMF</w:t>
      </w:r>
      <w:r w:rsidR="00727FD3" w:rsidRPr="000159D6">
        <w:rPr>
          <w:rFonts w:ascii="Arial" w:hAnsi="Arial" w:cs="Arial"/>
        </w:rPr>
        <w:t xml:space="preserve"> ») devra </w:t>
      </w:r>
      <w:r w:rsidRPr="000159D6">
        <w:rPr>
          <w:rFonts w:ascii="Arial" w:hAnsi="Arial" w:cs="Arial"/>
        </w:rPr>
        <w:t>examine</w:t>
      </w:r>
      <w:r w:rsidR="003A26BB" w:rsidRPr="000159D6">
        <w:rPr>
          <w:rFonts w:ascii="Arial" w:hAnsi="Arial" w:cs="Arial"/>
        </w:rPr>
        <w:t>r</w:t>
      </w:r>
      <w:r w:rsidRPr="000159D6">
        <w:rPr>
          <w:rFonts w:ascii="Arial" w:hAnsi="Arial" w:cs="Arial"/>
        </w:rPr>
        <w:t xml:space="preserve"> </w:t>
      </w:r>
      <w:r w:rsidR="00967E6B" w:rsidRPr="000159D6">
        <w:rPr>
          <w:rFonts w:ascii="Arial" w:hAnsi="Arial" w:cs="Arial"/>
        </w:rPr>
        <w:t xml:space="preserve">lors de l’examen de la conformité d’une offre impliquant un retrait obligatoire </w:t>
      </w:r>
      <w:r w:rsidRPr="000159D6">
        <w:rPr>
          <w:rFonts w:ascii="Arial" w:hAnsi="Arial" w:cs="Arial"/>
        </w:rPr>
        <w:t>si les procédures pendantes devant les juridictions</w:t>
      </w:r>
      <w:r w:rsidR="00727FD3" w:rsidRPr="000159D6">
        <w:rPr>
          <w:rFonts w:ascii="Arial" w:hAnsi="Arial" w:cs="Arial"/>
        </w:rPr>
        <w:t xml:space="preserve"> peuvent constituer un élément de valorisation du titre et, le cas échéant, si celui-ci a été pris en compte dans le prix auquel le projet d’offre est libellé. </w:t>
      </w:r>
      <w:r w:rsidR="00087189" w:rsidRPr="000159D6">
        <w:rPr>
          <w:rFonts w:ascii="Arial" w:hAnsi="Arial" w:cs="Arial"/>
        </w:rPr>
        <w:t xml:space="preserve">En outre, l’AMF devra s’assurer que la mise en œuvre éventuelle du retrait obligatoire n’est pas de nature à créer aux actionnaires des conséquences dommageables irréversibles. </w:t>
      </w:r>
      <w:r w:rsidRPr="000159D6">
        <w:rPr>
          <w:rFonts w:ascii="Arial" w:hAnsi="Arial" w:cs="Arial"/>
        </w:rPr>
        <w:t>La conformité n’est</w:t>
      </w:r>
      <w:r w:rsidR="00087189" w:rsidRPr="000159D6">
        <w:rPr>
          <w:rFonts w:ascii="Arial" w:hAnsi="Arial" w:cs="Arial"/>
        </w:rPr>
        <w:t>, entre autre,</w:t>
      </w:r>
      <w:r w:rsidRPr="000159D6">
        <w:rPr>
          <w:rFonts w:ascii="Arial" w:hAnsi="Arial" w:cs="Arial"/>
        </w:rPr>
        <w:t xml:space="preserve"> </w:t>
      </w:r>
      <w:r w:rsidR="00087189" w:rsidRPr="000159D6">
        <w:rPr>
          <w:rFonts w:ascii="Arial" w:hAnsi="Arial" w:cs="Arial"/>
        </w:rPr>
        <w:t>prononcée qu’en cas de respect de ces deux conditions.</w:t>
      </w:r>
      <w:r w:rsidR="00087189">
        <w:rPr>
          <w:rFonts w:ascii="Arial" w:hAnsi="Arial" w:cs="Arial"/>
        </w:rPr>
        <w:t xml:space="preserve"> </w:t>
      </w:r>
    </w:p>
    <w:p w14:paraId="16227391" w14:textId="77777777" w:rsidR="00BF04D4" w:rsidRDefault="00BF04D4" w:rsidP="00D30E4B">
      <w:pPr>
        <w:jc w:val="both"/>
        <w:rPr>
          <w:rFonts w:ascii="Arial" w:hAnsi="Arial" w:cs="Arial"/>
        </w:rPr>
      </w:pPr>
      <w:r w:rsidRPr="000159D6">
        <w:rPr>
          <w:rFonts w:ascii="Arial" w:hAnsi="Arial" w:cs="Arial"/>
        </w:rPr>
        <w:lastRenderedPageBreak/>
        <w:t>C’est ainsi que dans l’affaire CEDP en 1999</w:t>
      </w:r>
      <w:r w:rsidR="00100BCB" w:rsidRPr="000159D6">
        <w:rPr>
          <w:rStyle w:val="Appelnotedebasdep"/>
          <w:rFonts w:ascii="Arial" w:hAnsi="Arial" w:cs="Arial"/>
        </w:rPr>
        <w:footnoteReference w:id="1"/>
      </w:r>
      <w:r w:rsidR="00087189" w:rsidRPr="000159D6">
        <w:rPr>
          <w:rFonts w:ascii="Arial" w:hAnsi="Arial" w:cs="Arial"/>
        </w:rPr>
        <w:t>, le régulateur</w:t>
      </w:r>
      <w:r w:rsidRPr="000159D6">
        <w:rPr>
          <w:rFonts w:ascii="Arial" w:hAnsi="Arial" w:cs="Arial"/>
        </w:rPr>
        <w:t xml:space="preserve"> avait rendu une décision d’irrecevabilité du projet d’OPR</w:t>
      </w:r>
      <w:r w:rsidR="00E94B18" w:rsidRPr="000159D6">
        <w:rPr>
          <w:rFonts w:ascii="Arial" w:hAnsi="Arial" w:cs="Arial"/>
        </w:rPr>
        <w:t>-R</w:t>
      </w:r>
      <w:r w:rsidRPr="000159D6">
        <w:rPr>
          <w:rFonts w:ascii="Arial" w:hAnsi="Arial" w:cs="Arial"/>
        </w:rPr>
        <w:t>O déposé par le</w:t>
      </w:r>
      <w:r w:rsidR="00E94B18" w:rsidRPr="000159D6">
        <w:rPr>
          <w:rFonts w:ascii="Arial" w:hAnsi="Arial" w:cs="Arial"/>
        </w:rPr>
        <w:t xml:space="preserve"> Consortium de Réalisation</w:t>
      </w:r>
      <w:r w:rsidRPr="000159D6">
        <w:rPr>
          <w:rFonts w:ascii="Arial" w:hAnsi="Arial" w:cs="Arial"/>
        </w:rPr>
        <w:t>, au vu des procédures judiciaires en cours qui tendaient à la réparation d’un préjudice au profit de la société CEDP.</w:t>
      </w:r>
      <w:r w:rsidR="000159D6" w:rsidRPr="000159D6">
        <w:rPr>
          <w:rFonts w:ascii="Arial" w:hAnsi="Arial" w:cs="Arial"/>
        </w:rPr>
        <w:t xml:space="preserve"> Cette</w:t>
      </w:r>
      <w:r w:rsidR="000159D6">
        <w:rPr>
          <w:rFonts w:ascii="Arial" w:hAnsi="Arial" w:cs="Arial"/>
        </w:rPr>
        <w:t xml:space="preserve"> </w:t>
      </w:r>
      <w:r w:rsidR="000159D6" w:rsidRPr="000159D6">
        <w:rPr>
          <w:rFonts w:ascii="Arial" w:hAnsi="Arial" w:cs="Arial"/>
        </w:rPr>
        <w:t xml:space="preserve">décision a été confirmée par la Cour d’appel de </w:t>
      </w:r>
      <w:r w:rsidR="000105B4">
        <w:rPr>
          <w:rFonts w:ascii="Arial" w:hAnsi="Arial" w:cs="Arial"/>
        </w:rPr>
        <w:t>P</w:t>
      </w:r>
      <w:r w:rsidR="000159D6" w:rsidRPr="000159D6">
        <w:rPr>
          <w:rFonts w:ascii="Arial" w:hAnsi="Arial" w:cs="Arial"/>
        </w:rPr>
        <w:t>aris dans un arrêt CDR du 30 mai 2000.</w:t>
      </w:r>
    </w:p>
    <w:p w14:paraId="42B84ABB" w14:textId="77777777" w:rsidR="00100BCB" w:rsidRPr="00100BCB" w:rsidRDefault="00100BCB" w:rsidP="00D30E4B">
      <w:pPr>
        <w:jc w:val="both"/>
        <w:rPr>
          <w:rFonts w:ascii="Arial" w:hAnsi="Arial" w:cs="Arial"/>
        </w:rPr>
      </w:pPr>
      <w:r>
        <w:rPr>
          <w:rFonts w:ascii="Arial" w:hAnsi="Arial" w:cs="Arial"/>
        </w:rPr>
        <w:t xml:space="preserve">De même, l’AMF </w:t>
      </w:r>
      <w:r w:rsidR="00967E6B">
        <w:rPr>
          <w:rFonts w:ascii="Arial" w:hAnsi="Arial" w:cs="Arial"/>
        </w:rPr>
        <w:t>a</w:t>
      </w:r>
      <w:r>
        <w:rPr>
          <w:rFonts w:ascii="Arial" w:hAnsi="Arial" w:cs="Arial"/>
        </w:rPr>
        <w:t xml:space="preserve"> </w:t>
      </w:r>
      <w:r w:rsidR="00967E6B">
        <w:rPr>
          <w:rFonts w:ascii="Arial" w:hAnsi="Arial" w:cs="Arial"/>
        </w:rPr>
        <w:t xml:space="preserve">considéré </w:t>
      </w:r>
      <w:r>
        <w:rPr>
          <w:rFonts w:ascii="Arial" w:hAnsi="Arial" w:cs="Arial"/>
        </w:rPr>
        <w:t>qu’était recevable le projet d’OPR-RO visant les actions de la société GRANDE PAROISSE</w:t>
      </w:r>
      <w:r>
        <w:rPr>
          <w:rStyle w:val="Appelnotedebasdep"/>
          <w:rFonts w:ascii="Arial" w:hAnsi="Arial" w:cs="Arial"/>
        </w:rPr>
        <w:footnoteReference w:id="2"/>
      </w:r>
      <w:r>
        <w:rPr>
          <w:rFonts w:ascii="Arial" w:hAnsi="Arial" w:cs="Arial"/>
        </w:rPr>
        <w:t xml:space="preserve"> dès lors que « </w:t>
      </w:r>
      <w:r w:rsidRPr="00100BCB">
        <w:rPr>
          <w:rFonts w:ascii="Arial" w:hAnsi="Arial" w:cs="Arial"/>
          <w:bCs/>
          <w:i/>
          <w:iCs/>
        </w:rPr>
        <w:t>le prix auquel le projet d’offre publique de retrait suivie d’un retrait obligatoire est libellé tient compte des conséquences que pourrait avoir [l’action ut singuli engagée par des actionnaires minoritaires] sur le patrimoine de la société</w:t>
      </w:r>
      <w:r>
        <w:rPr>
          <w:rFonts w:ascii="Arial" w:hAnsi="Arial" w:cs="Arial"/>
        </w:rPr>
        <w:t> ».</w:t>
      </w:r>
    </w:p>
    <w:p w14:paraId="3317C598" w14:textId="77777777" w:rsidR="00BF04D4" w:rsidRPr="000534C0" w:rsidRDefault="00BF04D4" w:rsidP="00D30E4B">
      <w:pPr>
        <w:jc w:val="both"/>
        <w:rPr>
          <w:rFonts w:ascii="Arial" w:hAnsi="Arial" w:cs="Arial"/>
        </w:rPr>
      </w:pPr>
      <w:r w:rsidRPr="000534C0">
        <w:rPr>
          <w:rFonts w:ascii="Arial" w:hAnsi="Arial" w:cs="Arial"/>
        </w:rPr>
        <w:t>Au vu de qui précède, il apparaît :</w:t>
      </w:r>
    </w:p>
    <w:p w14:paraId="32043402" w14:textId="77777777" w:rsidR="00BF04D4" w:rsidRPr="000534C0" w:rsidRDefault="00BF04D4" w:rsidP="00D30E4B">
      <w:pPr>
        <w:pStyle w:val="Paragraphedeliste"/>
        <w:numPr>
          <w:ilvl w:val="0"/>
          <w:numId w:val="1"/>
        </w:numPr>
        <w:jc w:val="both"/>
        <w:rPr>
          <w:rFonts w:ascii="Arial" w:hAnsi="Arial" w:cs="Arial"/>
        </w:rPr>
      </w:pPr>
      <w:r w:rsidRPr="000534C0">
        <w:rPr>
          <w:rFonts w:ascii="Arial" w:hAnsi="Arial" w:cs="Arial"/>
        </w:rPr>
        <w:t>qu’EDF, c’est-à-dire ses dirigeants et son conseil d’administration</w:t>
      </w:r>
      <w:r>
        <w:rPr>
          <w:rFonts w:ascii="Arial" w:hAnsi="Arial" w:cs="Arial"/>
        </w:rPr>
        <w:t>,</w:t>
      </w:r>
      <w:r w:rsidRPr="000534C0">
        <w:rPr>
          <w:rFonts w:ascii="Arial" w:hAnsi="Arial" w:cs="Arial"/>
        </w:rPr>
        <w:t xml:space="preserve"> évalue à 8,34 milliards d’euros le préjudice subi du fait de la modification du volume de l’AREHN ; </w:t>
      </w:r>
    </w:p>
    <w:p w14:paraId="664BF7C2" w14:textId="77777777" w:rsidR="00BF04D4" w:rsidRPr="000159D6" w:rsidRDefault="00BF04D4" w:rsidP="00D30E4B">
      <w:pPr>
        <w:pStyle w:val="Paragraphedeliste"/>
        <w:numPr>
          <w:ilvl w:val="0"/>
          <w:numId w:val="1"/>
        </w:numPr>
        <w:jc w:val="both"/>
        <w:rPr>
          <w:rFonts w:ascii="Arial" w:hAnsi="Arial" w:cs="Arial"/>
        </w:rPr>
      </w:pPr>
      <w:r w:rsidRPr="000159D6">
        <w:rPr>
          <w:rFonts w:ascii="Arial" w:hAnsi="Arial" w:cs="Arial"/>
        </w:rPr>
        <w:t xml:space="preserve">que la décision a été adoptée, et communiquée par EDF au marché, de demander réparation de ce préjudice à l’Etat ; </w:t>
      </w:r>
    </w:p>
    <w:p w14:paraId="0B6CAED0" w14:textId="77777777" w:rsidR="00BF04D4" w:rsidRPr="000159D6" w:rsidRDefault="00BF04D4" w:rsidP="00D30E4B">
      <w:pPr>
        <w:pStyle w:val="Paragraphedeliste"/>
        <w:numPr>
          <w:ilvl w:val="0"/>
          <w:numId w:val="1"/>
        </w:numPr>
        <w:jc w:val="both"/>
        <w:rPr>
          <w:rFonts w:ascii="Arial" w:hAnsi="Arial" w:cs="Arial"/>
        </w:rPr>
      </w:pPr>
      <w:r w:rsidRPr="000159D6">
        <w:rPr>
          <w:rFonts w:ascii="Arial" w:hAnsi="Arial" w:cs="Arial"/>
        </w:rPr>
        <w:t>que cette demande est sérieuse et parfaitement fondée, et aurait de très sérieuses chances d’aboutir en justice ;</w:t>
      </w:r>
    </w:p>
    <w:p w14:paraId="637B132A" w14:textId="77777777" w:rsidR="00BF04D4" w:rsidRPr="000534C0" w:rsidRDefault="00BF04D4" w:rsidP="00D30E4B">
      <w:pPr>
        <w:pStyle w:val="Paragraphedeliste"/>
        <w:numPr>
          <w:ilvl w:val="0"/>
          <w:numId w:val="1"/>
        </w:numPr>
        <w:jc w:val="both"/>
        <w:rPr>
          <w:rFonts w:ascii="Arial" w:hAnsi="Arial" w:cs="Arial"/>
        </w:rPr>
      </w:pPr>
      <w:r w:rsidRPr="000534C0">
        <w:rPr>
          <w:rFonts w:ascii="Arial" w:hAnsi="Arial" w:cs="Arial"/>
        </w:rPr>
        <w:t xml:space="preserve">mais que faute d’avoir </w:t>
      </w:r>
      <w:r>
        <w:rPr>
          <w:rFonts w:ascii="Arial" w:hAnsi="Arial" w:cs="Arial"/>
        </w:rPr>
        <w:t>introduit</w:t>
      </w:r>
      <w:r w:rsidRPr="000534C0">
        <w:rPr>
          <w:rFonts w:ascii="Arial" w:hAnsi="Arial" w:cs="Arial"/>
        </w:rPr>
        <w:t xml:space="preserve"> un recours</w:t>
      </w:r>
      <w:r>
        <w:rPr>
          <w:rFonts w:ascii="Arial" w:hAnsi="Arial" w:cs="Arial"/>
        </w:rPr>
        <w:t xml:space="preserve"> contentieux</w:t>
      </w:r>
      <w:r w:rsidRPr="000534C0">
        <w:rPr>
          <w:rFonts w:ascii="Arial" w:hAnsi="Arial" w:cs="Arial"/>
        </w:rPr>
        <w:t>, donc en l’absence de procédure</w:t>
      </w:r>
      <w:r>
        <w:rPr>
          <w:rFonts w:ascii="Arial" w:hAnsi="Arial" w:cs="Arial"/>
        </w:rPr>
        <w:t xml:space="preserve"> judiciaire</w:t>
      </w:r>
      <w:r w:rsidRPr="000534C0">
        <w:rPr>
          <w:rFonts w:ascii="Arial" w:hAnsi="Arial" w:cs="Arial"/>
        </w:rPr>
        <w:t xml:space="preserve"> pendante, </w:t>
      </w:r>
      <w:r w:rsidRPr="000159D6">
        <w:rPr>
          <w:rFonts w:ascii="Arial" w:hAnsi="Arial" w:cs="Arial"/>
        </w:rPr>
        <w:t>cette demande d’indemnisation ne sera pas prise en compte lors de l’examen d</w:t>
      </w:r>
      <w:r w:rsidRPr="000534C0">
        <w:rPr>
          <w:rFonts w:ascii="Arial" w:hAnsi="Arial" w:cs="Arial"/>
        </w:rPr>
        <w:t>e la conformité d</w:t>
      </w:r>
      <w:r>
        <w:rPr>
          <w:rFonts w:ascii="Arial" w:hAnsi="Arial" w:cs="Arial"/>
        </w:rPr>
        <w:t>u projet d’</w:t>
      </w:r>
      <w:r w:rsidRPr="000534C0">
        <w:rPr>
          <w:rFonts w:ascii="Arial" w:hAnsi="Arial" w:cs="Arial"/>
        </w:rPr>
        <w:t>offre</w:t>
      </w:r>
      <w:r>
        <w:rPr>
          <w:rFonts w:ascii="Arial" w:hAnsi="Arial" w:cs="Arial"/>
        </w:rPr>
        <w:t xml:space="preserve"> publique de l’Etat</w:t>
      </w:r>
      <w:r w:rsidRPr="000534C0">
        <w:rPr>
          <w:rFonts w:ascii="Arial" w:hAnsi="Arial" w:cs="Arial"/>
        </w:rPr>
        <w:t>, s’agissant en particulier de  la valorisation de la société</w:t>
      </w:r>
      <w:r>
        <w:rPr>
          <w:rFonts w:ascii="Arial" w:hAnsi="Arial" w:cs="Arial"/>
        </w:rPr>
        <w:t>,</w:t>
      </w:r>
      <w:r w:rsidRPr="000534C0">
        <w:rPr>
          <w:rFonts w:ascii="Arial" w:hAnsi="Arial" w:cs="Arial"/>
        </w:rPr>
        <w:t xml:space="preserve"> donc du prix de l’offre suivie d’un retrait obligatoire</w:t>
      </w:r>
      <w:r>
        <w:rPr>
          <w:rFonts w:ascii="Arial" w:hAnsi="Arial" w:cs="Arial"/>
        </w:rPr>
        <w:t>.</w:t>
      </w:r>
    </w:p>
    <w:p w14:paraId="039B158B" w14:textId="77777777" w:rsidR="00BF04D4" w:rsidRPr="004B5AEB" w:rsidRDefault="00BF04D4" w:rsidP="00D30E4B">
      <w:pPr>
        <w:jc w:val="both"/>
        <w:rPr>
          <w:rFonts w:ascii="Arial" w:hAnsi="Arial" w:cs="Arial"/>
          <w:b/>
          <w:highlight w:val="yellow"/>
        </w:rPr>
      </w:pPr>
      <w:r w:rsidRPr="000534C0">
        <w:rPr>
          <w:rFonts w:ascii="Arial" w:hAnsi="Arial" w:cs="Arial"/>
          <w:b/>
        </w:rPr>
        <w:t xml:space="preserve">C’est pourquoi je m’adresse aujourd’hui à vous et </w:t>
      </w:r>
      <w:r w:rsidRPr="000159D6">
        <w:rPr>
          <w:rFonts w:ascii="Arial" w:hAnsi="Arial" w:cs="Arial"/>
          <w:b/>
        </w:rPr>
        <w:t>à l’</w:t>
      </w:r>
      <w:r w:rsidR="000159D6" w:rsidRPr="000159D6">
        <w:rPr>
          <w:rFonts w:ascii="Arial" w:hAnsi="Arial" w:cs="Arial"/>
          <w:b/>
        </w:rPr>
        <w:t xml:space="preserve">ensemble du </w:t>
      </w:r>
      <w:r w:rsidRPr="000534C0">
        <w:rPr>
          <w:rFonts w:ascii="Arial" w:hAnsi="Arial" w:cs="Arial"/>
          <w:b/>
        </w:rPr>
        <w:t xml:space="preserve"> conseil d’administration</w:t>
      </w:r>
      <w:r>
        <w:rPr>
          <w:rFonts w:ascii="Arial" w:hAnsi="Arial" w:cs="Arial"/>
          <w:b/>
        </w:rPr>
        <w:t xml:space="preserve"> d’EDF</w:t>
      </w:r>
      <w:r w:rsidRPr="000534C0">
        <w:rPr>
          <w:rFonts w:ascii="Arial" w:hAnsi="Arial" w:cs="Arial"/>
          <w:b/>
        </w:rPr>
        <w:t xml:space="preserve"> pour vous demander </w:t>
      </w:r>
      <w:r>
        <w:rPr>
          <w:rFonts w:ascii="Arial" w:hAnsi="Arial" w:cs="Arial"/>
          <w:b/>
        </w:rPr>
        <w:t xml:space="preserve">d’introduire </w:t>
      </w:r>
      <w:r w:rsidRPr="000534C0">
        <w:rPr>
          <w:rFonts w:ascii="Arial" w:hAnsi="Arial" w:cs="Arial"/>
          <w:b/>
        </w:rPr>
        <w:t>au plus vite</w:t>
      </w:r>
      <w:r>
        <w:rPr>
          <w:rFonts w:ascii="Arial" w:hAnsi="Arial" w:cs="Arial"/>
          <w:b/>
        </w:rPr>
        <w:t xml:space="preserve"> devant le tribunal administratif compétent</w:t>
      </w:r>
      <w:r w:rsidRPr="000534C0">
        <w:rPr>
          <w:rFonts w:ascii="Arial" w:hAnsi="Arial" w:cs="Arial"/>
          <w:b/>
        </w:rPr>
        <w:t xml:space="preserve"> – et en tout état de cause avant le dépôt </w:t>
      </w:r>
      <w:r>
        <w:rPr>
          <w:rFonts w:ascii="Arial" w:hAnsi="Arial" w:cs="Arial"/>
          <w:b/>
        </w:rPr>
        <w:t>à l’AMF du projet</w:t>
      </w:r>
      <w:r w:rsidRPr="000534C0">
        <w:rPr>
          <w:rFonts w:ascii="Arial" w:hAnsi="Arial" w:cs="Arial"/>
          <w:b/>
        </w:rPr>
        <w:t xml:space="preserve"> </w:t>
      </w:r>
      <w:r>
        <w:rPr>
          <w:rFonts w:ascii="Arial" w:hAnsi="Arial" w:cs="Arial"/>
          <w:b/>
        </w:rPr>
        <w:t>d</w:t>
      </w:r>
      <w:r w:rsidRPr="000534C0">
        <w:rPr>
          <w:rFonts w:ascii="Arial" w:hAnsi="Arial" w:cs="Arial"/>
          <w:b/>
        </w:rPr>
        <w:t>’offre</w:t>
      </w:r>
      <w:r>
        <w:rPr>
          <w:rFonts w:ascii="Arial" w:hAnsi="Arial" w:cs="Arial"/>
          <w:b/>
        </w:rPr>
        <w:t xml:space="preserve"> publique de l’Etat</w:t>
      </w:r>
      <w:r w:rsidRPr="000534C0">
        <w:rPr>
          <w:rFonts w:ascii="Arial" w:hAnsi="Arial" w:cs="Arial"/>
          <w:b/>
        </w:rPr>
        <w:t xml:space="preserve"> –  un recours</w:t>
      </w:r>
      <w:r>
        <w:rPr>
          <w:rFonts w:ascii="Arial" w:hAnsi="Arial" w:cs="Arial"/>
          <w:b/>
        </w:rPr>
        <w:t xml:space="preserve"> contentieux</w:t>
      </w:r>
      <w:r w:rsidRPr="000534C0">
        <w:rPr>
          <w:rFonts w:ascii="Arial" w:hAnsi="Arial" w:cs="Arial"/>
          <w:b/>
        </w:rPr>
        <w:t xml:space="preserve"> en indemnisation en bonne et due forme pour le montant du préjudice estimé à 8,34 milliards d’euros</w:t>
      </w:r>
      <w:r>
        <w:rPr>
          <w:rFonts w:ascii="Arial" w:hAnsi="Arial" w:cs="Arial"/>
          <w:b/>
        </w:rPr>
        <w:t xml:space="preserve"> </w:t>
      </w:r>
      <w:r w:rsidRPr="000159D6">
        <w:rPr>
          <w:rFonts w:ascii="Arial" w:hAnsi="Arial" w:cs="Arial"/>
          <w:b/>
        </w:rPr>
        <w:t xml:space="preserve">annoncé au marché. </w:t>
      </w:r>
    </w:p>
    <w:p w14:paraId="6F961C75" w14:textId="77777777" w:rsidR="00967E6B" w:rsidRPr="000159D6" w:rsidRDefault="00BF04D4" w:rsidP="00D30E4B">
      <w:pPr>
        <w:jc w:val="both"/>
        <w:rPr>
          <w:rFonts w:ascii="Arial" w:hAnsi="Arial" w:cs="Arial"/>
        </w:rPr>
      </w:pPr>
      <w:r w:rsidRPr="000159D6">
        <w:rPr>
          <w:rFonts w:ascii="Arial" w:hAnsi="Arial" w:cs="Arial"/>
        </w:rPr>
        <w:t xml:space="preserve">Rien ne s’oppose en effet à ce qu’un tel recours soit introduit sans attendre la réponse de l’Etat à la demande indemnitaire qui lui a été adressée. </w:t>
      </w:r>
    </w:p>
    <w:p w14:paraId="6CCE9FB9" w14:textId="77777777" w:rsidR="00BF04D4" w:rsidRPr="00CC7712" w:rsidRDefault="00BF04D4" w:rsidP="00D30E4B">
      <w:pPr>
        <w:jc w:val="both"/>
        <w:rPr>
          <w:rFonts w:ascii="Arial" w:hAnsi="Arial" w:cs="Arial"/>
        </w:rPr>
      </w:pPr>
      <w:r w:rsidRPr="000159D6">
        <w:rPr>
          <w:rFonts w:ascii="Arial" w:hAnsi="Arial" w:cs="Arial"/>
        </w:rPr>
        <w:t>Davantage, il en va ici de votre obligation d’agir dans l’intérêt social d’EDF</w:t>
      </w:r>
      <w:r w:rsidR="003D5E95" w:rsidRPr="000159D6">
        <w:rPr>
          <w:rFonts w:ascii="Arial" w:hAnsi="Arial" w:cs="Arial"/>
        </w:rPr>
        <w:t>.</w:t>
      </w:r>
    </w:p>
    <w:p w14:paraId="4DD279B6" w14:textId="77777777" w:rsidR="00BF04D4" w:rsidRPr="000534C0" w:rsidRDefault="00BF04D4" w:rsidP="00D30E4B">
      <w:pPr>
        <w:jc w:val="both"/>
        <w:rPr>
          <w:rFonts w:ascii="Arial" w:hAnsi="Arial" w:cs="Arial"/>
        </w:rPr>
      </w:pPr>
      <w:r w:rsidRPr="00E94B18">
        <w:rPr>
          <w:rFonts w:ascii="Arial" w:hAnsi="Arial" w:cs="Arial"/>
        </w:rPr>
        <w:t xml:space="preserve">Il s’agit de faire en sorte que le montant du préjudice </w:t>
      </w:r>
      <w:r w:rsidRPr="000159D6">
        <w:rPr>
          <w:rFonts w:ascii="Arial" w:hAnsi="Arial" w:cs="Arial"/>
        </w:rPr>
        <w:t>indiscutablement</w:t>
      </w:r>
      <w:r w:rsidRPr="00E94B18">
        <w:rPr>
          <w:rFonts w:ascii="Arial" w:hAnsi="Arial" w:cs="Arial"/>
        </w:rPr>
        <w:t xml:space="preserve"> subi par EDF soit pris en compte dans la valorisation</w:t>
      </w:r>
      <w:r w:rsidRPr="000534C0">
        <w:rPr>
          <w:rFonts w:ascii="Arial" w:hAnsi="Arial" w:cs="Arial"/>
        </w:rPr>
        <w:t xml:space="preserve"> de la société de </w:t>
      </w:r>
      <w:r>
        <w:rPr>
          <w:rFonts w:ascii="Arial" w:hAnsi="Arial" w:cs="Arial"/>
        </w:rPr>
        <w:t xml:space="preserve">manière à </w:t>
      </w:r>
      <w:r w:rsidRPr="000534C0">
        <w:rPr>
          <w:rFonts w:ascii="Arial" w:hAnsi="Arial" w:cs="Arial"/>
        </w:rPr>
        <w:t>neutraliser l’amputation de valeur qu’</w:t>
      </w:r>
      <w:r>
        <w:rPr>
          <w:rFonts w:ascii="Arial" w:hAnsi="Arial" w:cs="Arial"/>
        </w:rPr>
        <w:t>elle</w:t>
      </w:r>
      <w:r w:rsidRPr="000534C0">
        <w:rPr>
          <w:rFonts w:ascii="Arial" w:hAnsi="Arial" w:cs="Arial"/>
        </w:rPr>
        <w:t xml:space="preserve"> a subie du fait des décisions de l’Etat, quelques mois seulement avant </w:t>
      </w:r>
      <w:r w:rsidR="003D5E95">
        <w:rPr>
          <w:rFonts w:ascii="Arial" w:hAnsi="Arial" w:cs="Arial"/>
        </w:rPr>
        <w:t>la mise en œuvre d’une procédure de</w:t>
      </w:r>
      <w:r w:rsidRPr="000534C0">
        <w:rPr>
          <w:rFonts w:ascii="Arial" w:hAnsi="Arial" w:cs="Arial"/>
        </w:rPr>
        <w:t xml:space="preserve"> retrait obligatoire</w:t>
      </w:r>
      <w:r w:rsidR="003D5E95">
        <w:rPr>
          <w:rFonts w:ascii="Arial" w:hAnsi="Arial" w:cs="Arial"/>
        </w:rPr>
        <w:t xml:space="preserve"> visant EDF</w:t>
      </w:r>
      <w:r w:rsidRPr="000534C0">
        <w:rPr>
          <w:rFonts w:ascii="Arial" w:hAnsi="Arial" w:cs="Arial"/>
        </w:rPr>
        <w:t>.</w:t>
      </w:r>
    </w:p>
    <w:p w14:paraId="1E941E8D" w14:textId="77777777" w:rsidR="00BF04D4" w:rsidRDefault="00BF04D4" w:rsidP="00D30E4B">
      <w:pPr>
        <w:jc w:val="both"/>
        <w:rPr>
          <w:rFonts w:ascii="Arial" w:hAnsi="Arial" w:cs="Arial"/>
        </w:rPr>
      </w:pPr>
      <w:r w:rsidRPr="000534C0">
        <w:rPr>
          <w:rFonts w:ascii="Arial" w:hAnsi="Arial" w:cs="Arial"/>
        </w:rPr>
        <w:t xml:space="preserve">Il en va du devoir </w:t>
      </w:r>
      <w:r>
        <w:rPr>
          <w:rFonts w:ascii="Arial" w:hAnsi="Arial" w:cs="Arial"/>
        </w:rPr>
        <w:t>de loyauté</w:t>
      </w:r>
      <w:r w:rsidRPr="000534C0">
        <w:rPr>
          <w:rFonts w:ascii="Arial" w:hAnsi="Arial" w:cs="Arial"/>
        </w:rPr>
        <w:t xml:space="preserve"> et de la responsabilité</w:t>
      </w:r>
      <w:r>
        <w:rPr>
          <w:rFonts w:ascii="Arial" w:hAnsi="Arial" w:cs="Arial"/>
        </w:rPr>
        <w:t xml:space="preserve"> de chacun</w:t>
      </w:r>
      <w:r w:rsidRPr="000534C0">
        <w:rPr>
          <w:rFonts w:ascii="Arial" w:hAnsi="Arial" w:cs="Arial"/>
        </w:rPr>
        <w:t xml:space="preserve"> des dirigeants et des administrateurs </w:t>
      </w:r>
      <w:r w:rsidR="003D5E95">
        <w:rPr>
          <w:rFonts w:ascii="Arial" w:hAnsi="Arial" w:cs="Arial"/>
        </w:rPr>
        <w:t xml:space="preserve">d’EDF </w:t>
      </w:r>
      <w:r w:rsidRPr="000534C0">
        <w:rPr>
          <w:rFonts w:ascii="Arial" w:hAnsi="Arial" w:cs="Arial"/>
        </w:rPr>
        <w:t>vis-à-vis de la société et de ses actionnaires.</w:t>
      </w:r>
    </w:p>
    <w:p w14:paraId="3364BC20" w14:textId="77777777" w:rsidR="00BF04D4" w:rsidRPr="000534C0" w:rsidRDefault="00D00D5F" w:rsidP="00D30E4B">
      <w:pPr>
        <w:jc w:val="both"/>
        <w:rPr>
          <w:rFonts w:ascii="Arial" w:hAnsi="Arial" w:cs="Arial"/>
        </w:rPr>
      </w:pPr>
      <w:r>
        <w:rPr>
          <w:rFonts w:ascii="Arial" w:hAnsi="Arial" w:cs="Arial"/>
        </w:rPr>
        <w:lastRenderedPageBreak/>
        <w:t>Il y a urgence car le dépôt de l’offre ne saurait tarder maintenant que la loi de finance rectificative a été promulguée. C’est pourquoi, s</w:t>
      </w:r>
      <w:r w:rsidR="00BF04D4" w:rsidRPr="000534C0">
        <w:rPr>
          <w:rFonts w:ascii="Arial" w:hAnsi="Arial" w:cs="Arial"/>
        </w:rPr>
        <w:t>i pour une raison ou une autre, EDF</w:t>
      </w:r>
      <w:r w:rsidR="00BF04D4">
        <w:rPr>
          <w:rFonts w:ascii="Arial" w:hAnsi="Arial" w:cs="Arial"/>
        </w:rPr>
        <w:t>, par l’intermédiaire de ses dirigeants,</w:t>
      </w:r>
      <w:r w:rsidR="00BF04D4" w:rsidRPr="000534C0">
        <w:rPr>
          <w:rFonts w:ascii="Arial" w:hAnsi="Arial" w:cs="Arial"/>
        </w:rPr>
        <w:t xml:space="preserve"> ne donnait pas immédiatement suite à cette demande, </w:t>
      </w:r>
      <w:r w:rsidR="00BF04D4" w:rsidRPr="000159D6">
        <w:rPr>
          <w:rFonts w:ascii="Arial" w:hAnsi="Arial" w:cs="Arial"/>
        </w:rPr>
        <w:t xml:space="preserve">les actionnaires minoritaires de la société n’auront d’autres choix que de tirer les conséquences de la carence des organes sociaux de la société, et de </w:t>
      </w:r>
      <w:r w:rsidR="004D3B17">
        <w:rPr>
          <w:rFonts w:ascii="Arial" w:hAnsi="Arial" w:cs="Arial"/>
        </w:rPr>
        <w:t>mettre en cause la</w:t>
      </w:r>
      <w:r w:rsidR="00BF04D4" w:rsidRPr="000159D6">
        <w:rPr>
          <w:rFonts w:ascii="Arial" w:hAnsi="Arial" w:cs="Arial"/>
        </w:rPr>
        <w:t xml:space="preserve"> responsabilité des dirigeants et des administrateurs afin de préserver les intérêts de la société et de ses actionnaires.</w:t>
      </w:r>
      <w:r w:rsidR="00BF04D4" w:rsidRPr="000534C0">
        <w:rPr>
          <w:rFonts w:ascii="Arial" w:hAnsi="Arial" w:cs="Arial"/>
        </w:rPr>
        <w:t xml:space="preserve"> </w:t>
      </w:r>
    </w:p>
    <w:p w14:paraId="3A91D43E" w14:textId="77777777" w:rsidR="00C872B6" w:rsidRPr="000534C0" w:rsidRDefault="00C872B6" w:rsidP="00D30E4B">
      <w:pPr>
        <w:jc w:val="both"/>
        <w:rPr>
          <w:rFonts w:ascii="Arial" w:hAnsi="Arial" w:cs="Arial"/>
        </w:rPr>
      </w:pPr>
      <w:r w:rsidRPr="000534C0">
        <w:rPr>
          <w:rFonts w:ascii="Arial" w:hAnsi="Arial" w:cs="Arial"/>
        </w:rPr>
        <w:t>C’est dans le très réel espoir que cela ne sera</w:t>
      </w:r>
      <w:r w:rsidR="00F7773C" w:rsidRPr="000534C0">
        <w:rPr>
          <w:rFonts w:ascii="Arial" w:hAnsi="Arial" w:cs="Arial"/>
        </w:rPr>
        <w:t xml:space="preserve"> pas nécessaire que je </w:t>
      </w:r>
      <w:r w:rsidR="0047741D">
        <w:rPr>
          <w:rFonts w:ascii="Arial" w:hAnsi="Arial" w:cs="Arial"/>
        </w:rPr>
        <w:t xml:space="preserve">me tiens à votre disposition pour toute précision complémentaire que vous jugeriez utile et </w:t>
      </w:r>
      <w:r w:rsidR="0024572C">
        <w:rPr>
          <w:rFonts w:ascii="Arial" w:hAnsi="Arial" w:cs="Arial"/>
        </w:rPr>
        <w:t xml:space="preserve">que je </w:t>
      </w:r>
      <w:r w:rsidR="003D5E95">
        <w:rPr>
          <w:rFonts w:ascii="Arial" w:hAnsi="Arial" w:cs="Arial"/>
        </w:rPr>
        <w:t xml:space="preserve">vous prie d’agréer, </w:t>
      </w:r>
      <w:r w:rsidR="00F7773C" w:rsidRPr="000534C0">
        <w:rPr>
          <w:rFonts w:ascii="Arial" w:hAnsi="Arial" w:cs="Arial"/>
        </w:rPr>
        <w:t xml:space="preserve">Monsieur le Président, l’assurance de ma parfaite considération. </w:t>
      </w:r>
    </w:p>
    <w:p w14:paraId="07882658" w14:textId="77777777" w:rsidR="00F7773C" w:rsidRPr="000534C0" w:rsidRDefault="00F7773C" w:rsidP="00D30E4B">
      <w:pPr>
        <w:jc w:val="both"/>
        <w:rPr>
          <w:rFonts w:ascii="Arial" w:hAnsi="Arial" w:cs="Arial"/>
        </w:rPr>
      </w:pPr>
    </w:p>
    <w:p w14:paraId="0D33ACF4" w14:textId="77777777" w:rsidR="00F7773C" w:rsidRPr="000534C0" w:rsidRDefault="00F7773C" w:rsidP="000534C0">
      <w:pPr>
        <w:rPr>
          <w:rFonts w:ascii="Arial" w:hAnsi="Arial" w:cs="Arial"/>
        </w:rPr>
      </w:pPr>
      <w:r w:rsidRPr="000534C0">
        <w:rPr>
          <w:rFonts w:ascii="Arial" w:hAnsi="Arial" w:cs="Arial"/>
        </w:rPr>
        <w:tab/>
      </w:r>
      <w:r w:rsidRPr="000534C0">
        <w:rPr>
          <w:rFonts w:ascii="Arial" w:hAnsi="Arial" w:cs="Arial"/>
        </w:rPr>
        <w:tab/>
      </w:r>
      <w:r w:rsidRPr="000534C0">
        <w:rPr>
          <w:rFonts w:ascii="Arial" w:hAnsi="Arial" w:cs="Arial"/>
        </w:rPr>
        <w:tab/>
      </w:r>
      <w:r w:rsidRPr="000534C0">
        <w:rPr>
          <w:rFonts w:ascii="Arial" w:hAnsi="Arial" w:cs="Arial"/>
        </w:rPr>
        <w:tab/>
      </w:r>
      <w:r w:rsidRPr="000534C0">
        <w:rPr>
          <w:rFonts w:ascii="Arial" w:hAnsi="Arial" w:cs="Arial"/>
        </w:rPr>
        <w:tab/>
      </w:r>
      <w:r w:rsidRPr="000534C0">
        <w:rPr>
          <w:rFonts w:ascii="Arial" w:hAnsi="Arial" w:cs="Arial"/>
        </w:rPr>
        <w:tab/>
      </w:r>
      <w:r w:rsidRPr="000534C0">
        <w:rPr>
          <w:rFonts w:ascii="Arial" w:hAnsi="Arial" w:cs="Arial"/>
        </w:rPr>
        <w:tab/>
      </w:r>
      <w:r w:rsidRPr="000534C0">
        <w:rPr>
          <w:rFonts w:ascii="Arial" w:hAnsi="Arial" w:cs="Arial"/>
        </w:rPr>
        <w:tab/>
        <w:t>Colette Neuville</w:t>
      </w:r>
    </w:p>
    <w:p w14:paraId="127EBBD9" w14:textId="77777777" w:rsidR="00044117" w:rsidRPr="000534C0" w:rsidRDefault="00044117" w:rsidP="000534C0">
      <w:pPr>
        <w:rPr>
          <w:rFonts w:ascii="Arial" w:hAnsi="Arial" w:cs="Arial"/>
        </w:rPr>
      </w:pPr>
    </w:p>
    <w:sectPr w:rsidR="00044117" w:rsidRPr="000534C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F31D" w14:textId="77777777" w:rsidR="00331A96" w:rsidRDefault="00331A96" w:rsidP="001671D7">
      <w:pPr>
        <w:spacing w:after="0" w:line="240" w:lineRule="auto"/>
      </w:pPr>
      <w:r>
        <w:separator/>
      </w:r>
    </w:p>
  </w:endnote>
  <w:endnote w:type="continuationSeparator" w:id="0">
    <w:p w14:paraId="2221B141" w14:textId="77777777" w:rsidR="00331A96" w:rsidRDefault="00331A96" w:rsidP="0016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937F2" w14:textId="77777777" w:rsidR="00331A96" w:rsidRDefault="00331A96" w:rsidP="001671D7">
      <w:pPr>
        <w:spacing w:after="0" w:line="240" w:lineRule="auto"/>
      </w:pPr>
      <w:r>
        <w:separator/>
      </w:r>
    </w:p>
  </w:footnote>
  <w:footnote w:type="continuationSeparator" w:id="0">
    <w:p w14:paraId="3D7A90A1" w14:textId="77777777" w:rsidR="00331A96" w:rsidRDefault="00331A96" w:rsidP="001671D7">
      <w:pPr>
        <w:spacing w:after="0" w:line="240" w:lineRule="auto"/>
      </w:pPr>
      <w:r>
        <w:continuationSeparator/>
      </w:r>
    </w:p>
  </w:footnote>
  <w:footnote w:id="1">
    <w:p w14:paraId="17E7C4CB" w14:textId="77777777" w:rsidR="00100BCB" w:rsidRPr="00100BCB" w:rsidRDefault="00100BCB">
      <w:pPr>
        <w:pStyle w:val="Notedebasdepage"/>
        <w:rPr>
          <w:rFonts w:asciiTheme="majorHAnsi" w:hAnsiTheme="majorHAnsi"/>
          <w:sz w:val="22"/>
          <w:szCs w:val="22"/>
        </w:rPr>
      </w:pPr>
      <w:r w:rsidRPr="00100BCB">
        <w:rPr>
          <w:rStyle w:val="Appelnotedebasdep"/>
          <w:rFonts w:asciiTheme="majorHAnsi" w:hAnsiTheme="majorHAnsi"/>
          <w:sz w:val="22"/>
          <w:szCs w:val="22"/>
        </w:rPr>
        <w:footnoteRef/>
      </w:r>
      <w:r w:rsidRPr="00100BCB">
        <w:rPr>
          <w:rFonts w:asciiTheme="majorHAnsi" w:hAnsiTheme="majorHAnsi"/>
          <w:sz w:val="22"/>
          <w:szCs w:val="22"/>
        </w:rPr>
        <w:t xml:space="preserve"> </w:t>
      </w:r>
      <w:r w:rsidRPr="00100BCB">
        <w:rPr>
          <w:rFonts w:asciiTheme="majorHAnsi" w:hAnsiTheme="majorHAnsi" w:cs="Times New Roman"/>
          <w:iCs/>
          <w:sz w:val="22"/>
          <w:szCs w:val="22"/>
        </w:rPr>
        <w:t>CMF, 29 octobre 1999, n°199C1664.</w:t>
      </w:r>
    </w:p>
  </w:footnote>
  <w:footnote w:id="2">
    <w:p w14:paraId="31756DD3" w14:textId="77777777" w:rsidR="00100BCB" w:rsidRDefault="00100BCB">
      <w:pPr>
        <w:pStyle w:val="Notedebasdepage"/>
      </w:pPr>
      <w:r w:rsidRPr="00100BCB">
        <w:rPr>
          <w:rStyle w:val="Appelnotedebasdep"/>
          <w:rFonts w:asciiTheme="majorHAnsi" w:hAnsiTheme="majorHAnsi"/>
          <w:sz w:val="22"/>
          <w:szCs w:val="22"/>
        </w:rPr>
        <w:footnoteRef/>
      </w:r>
      <w:r w:rsidRPr="00100BCB">
        <w:rPr>
          <w:rFonts w:asciiTheme="majorHAnsi" w:hAnsiTheme="majorHAnsi"/>
          <w:sz w:val="22"/>
          <w:szCs w:val="22"/>
        </w:rPr>
        <w:t xml:space="preserve"> </w:t>
      </w:r>
      <w:r w:rsidRPr="00100BCB">
        <w:rPr>
          <w:rFonts w:asciiTheme="majorHAnsi" w:hAnsiTheme="majorHAnsi" w:cs="Times New Roman"/>
          <w:iCs/>
          <w:sz w:val="22"/>
          <w:szCs w:val="22"/>
          <w:lang w:eastAsia="ko-KR"/>
        </w:rPr>
        <w:t>AMF, 22 juillet 2004, n°204C0936.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556157"/>
      <w:docPartObj>
        <w:docPartGallery w:val="Page Numbers (Top of Page)"/>
        <w:docPartUnique/>
      </w:docPartObj>
    </w:sdtPr>
    <w:sdtEndPr/>
    <w:sdtContent>
      <w:p w14:paraId="01ED6C3B" w14:textId="77777777" w:rsidR="00D00D5F" w:rsidRDefault="00D00D5F">
        <w:pPr>
          <w:pStyle w:val="En-tte"/>
          <w:jc w:val="center"/>
        </w:pPr>
        <w:r>
          <w:fldChar w:fldCharType="begin"/>
        </w:r>
        <w:r>
          <w:instrText>PAGE   \* MERGEFORMAT</w:instrText>
        </w:r>
        <w:r>
          <w:fldChar w:fldCharType="separate"/>
        </w:r>
        <w:r>
          <w:rPr>
            <w:noProof/>
          </w:rPr>
          <w:t>3</w:t>
        </w:r>
        <w:r>
          <w:fldChar w:fldCharType="end"/>
        </w:r>
      </w:p>
    </w:sdtContent>
  </w:sdt>
  <w:p w14:paraId="0C5DBFCC" w14:textId="77777777" w:rsidR="00D00D5F" w:rsidRDefault="00D00D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C6728"/>
    <w:multiLevelType w:val="hybridMultilevel"/>
    <w:tmpl w:val="0F7E907E"/>
    <w:lvl w:ilvl="0" w:tplc="EAEA900E">
      <w:numFmt w:val="bullet"/>
      <w:lvlText w:val="-"/>
      <w:lvlJc w:val="left"/>
      <w:pPr>
        <w:ind w:left="1070" w:hanging="360"/>
      </w:pPr>
      <w:rPr>
        <w:rFonts w:ascii="Calibri" w:eastAsiaTheme="minorHAnsi" w:hAnsi="Calibri" w:cstheme="minorBid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4C7"/>
    <w:rsid w:val="00004591"/>
    <w:rsid w:val="000105B4"/>
    <w:rsid w:val="000159D6"/>
    <w:rsid w:val="00044117"/>
    <w:rsid w:val="000534C0"/>
    <w:rsid w:val="00076F9A"/>
    <w:rsid w:val="00087189"/>
    <w:rsid w:val="000E4467"/>
    <w:rsid w:val="00100BCB"/>
    <w:rsid w:val="001671D7"/>
    <w:rsid w:val="001924C7"/>
    <w:rsid w:val="001B6435"/>
    <w:rsid w:val="001E51EB"/>
    <w:rsid w:val="001F1450"/>
    <w:rsid w:val="00242FAB"/>
    <w:rsid w:val="0024572C"/>
    <w:rsid w:val="00331A96"/>
    <w:rsid w:val="00337D83"/>
    <w:rsid w:val="003A26BB"/>
    <w:rsid w:val="003A2C06"/>
    <w:rsid w:val="003D5E95"/>
    <w:rsid w:val="0047741D"/>
    <w:rsid w:val="00485074"/>
    <w:rsid w:val="004B5AEB"/>
    <w:rsid w:val="004D3B17"/>
    <w:rsid w:val="004D7004"/>
    <w:rsid w:val="004F4A79"/>
    <w:rsid w:val="005171E8"/>
    <w:rsid w:val="00591CEA"/>
    <w:rsid w:val="005D3548"/>
    <w:rsid w:val="005D4551"/>
    <w:rsid w:val="00616EAD"/>
    <w:rsid w:val="006214F8"/>
    <w:rsid w:val="006336CB"/>
    <w:rsid w:val="006B6733"/>
    <w:rsid w:val="00727FD3"/>
    <w:rsid w:val="007461D3"/>
    <w:rsid w:val="00767639"/>
    <w:rsid w:val="00802057"/>
    <w:rsid w:val="008623C4"/>
    <w:rsid w:val="00870BB3"/>
    <w:rsid w:val="00884240"/>
    <w:rsid w:val="008876B5"/>
    <w:rsid w:val="008F0409"/>
    <w:rsid w:val="009255F3"/>
    <w:rsid w:val="00967E6B"/>
    <w:rsid w:val="00A0655C"/>
    <w:rsid w:val="00A13D63"/>
    <w:rsid w:val="00A77FAF"/>
    <w:rsid w:val="00BF03B5"/>
    <w:rsid w:val="00BF04D4"/>
    <w:rsid w:val="00C17508"/>
    <w:rsid w:val="00C236D9"/>
    <w:rsid w:val="00C674F5"/>
    <w:rsid w:val="00C872B6"/>
    <w:rsid w:val="00C93EB4"/>
    <w:rsid w:val="00CC7712"/>
    <w:rsid w:val="00CE25EC"/>
    <w:rsid w:val="00D005C6"/>
    <w:rsid w:val="00D00D5F"/>
    <w:rsid w:val="00D16338"/>
    <w:rsid w:val="00D30E4B"/>
    <w:rsid w:val="00D43CB2"/>
    <w:rsid w:val="00D76D65"/>
    <w:rsid w:val="00DB7381"/>
    <w:rsid w:val="00DC5511"/>
    <w:rsid w:val="00DE796A"/>
    <w:rsid w:val="00E94B18"/>
    <w:rsid w:val="00EC26E1"/>
    <w:rsid w:val="00F7773C"/>
    <w:rsid w:val="00FA4D81"/>
    <w:rsid w:val="00FB79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A9BB2"/>
  <w15:docId w15:val="{CE55E628-3939-4207-8D7C-ED6CC94D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671D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71D7"/>
    <w:rPr>
      <w:sz w:val="20"/>
      <w:szCs w:val="20"/>
    </w:rPr>
  </w:style>
  <w:style w:type="character" w:styleId="Appelnotedebasdep">
    <w:name w:val="footnote reference"/>
    <w:basedOn w:val="Policepardfaut"/>
    <w:uiPriority w:val="99"/>
    <w:semiHidden/>
    <w:unhideWhenUsed/>
    <w:rsid w:val="001671D7"/>
    <w:rPr>
      <w:vertAlign w:val="superscript"/>
    </w:rPr>
  </w:style>
  <w:style w:type="paragraph" w:styleId="Paragraphedeliste">
    <w:name w:val="List Paragraph"/>
    <w:basedOn w:val="Normal"/>
    <w:uiPriority w:val="34"/>
    <w:qFormat/>
    <w:rsid w:val="00A77FAF"/>
    <w:pPr>
      <w:ind w:left="720"/>
      <w:contextualSpacing/>
    </w:pPr>
  </w:style>
  <w:style w:type="character" w:styleId="Marquedecommentaire">
    <w:name w:val="annotation reference"/>
    <w:basedOn w:val="Policepardfaut"/>
    <w:uiPriority w:val="99"/>
    <w:semiHidden/>
    <w:unhideWhenUsed/>
    <w:rsid w:val="00BF04D4"/>
    <w:rPr>
      <w:sz w:val="18"/>
      <w:szCs w:val="18"/>
    </w:rPr>
  </w:style>
  <w:style w:type="paragraph" w:styleId="Commentaire">
    <w:name w:val="annotation text"/>
    <w:basedOn w:val="Normal"/>
    <w:link w:val="CommentaireCar"/>
    <w:uiPriority w:val="99"/>
    <w:semiHidden/>
    <w:unhideWhenUsed/>
    <w:rsid w:val="00BF04D4"/>
    <w:pPr>
      <w:spacing w:line="240" w:lineRule="auto"/>
    </w:pPr>
    <w:rPr>
      <w:sz w:val="24"/>
      <w:szCs w:val="24"/>
    </w:rPr>
  </w:style>
  <w:style w:type="character" w:customStyle="1" w:styleId="CommentaireCar">
    <w:name w:val="Commentaire Car"/>
    <w:basedOn w:val="Policepardfaut"/>
    <w:link w:val="Commentaire"/>
    <w:uiPriority w:val="99"/>
    <w:semiHidden/>
    <w:rsid w:val="00BF04D4"/>
    <w:rPr>
      <w:sz w:val="24"/>
      <w:szCs w:val="24"/>
    </w:rPr>
  </w:style>
  <w:style w:type="paragraph" w:styleId="Textedebulles">
    <w:name w:val="Balloon Text"/>
    <w:basedOn w:val="Normal"/>
    <w:link w:val="TextedebullesCar"/>
    <w:uiPriority w:val="99"/>
    <w:semiHidden/>
    <w:unhideWhenUsed/>
    <w:rsid w:val="00BF04D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04D4"/>
    <w:rPr>
      <w:rFonts w:ascii="Segoe UI" w:hAnsi="Segoe UI" w:cs="Segoe UI"/>
      <w:sz w:val="18"/>
      <w:szCs w:val="18"/>
    </w:rPr>
  </w:style>
  <w:style w:type="paragraph" w:styleId="En-tte">
    <w:name w:val="header"/>
    <w:basedOn w:val="Normal"/>
    <w:link w:val="En-tteCar"/>
    <w:uiPriority w:val="99"/>
    <w:unhideWhenUsed/>
    <w:rsid w:val="00D00D5F"/>
    <w:pPr>
      <w:tabs>
        <w:tab w:val="center" w:pos="4536"/>
        <w:tab w:val="right" w:pos="9072"/>
      </w:tabs>
      <w:spacing w:after="0" w:line="240" w:lineRule="auto"/>
    </w:pPr>
  </w:style>
  <w:style w:type="character" w:customStyle="1" w:styleId="En-tteCar">
    <w:name w:val="En-tête Car"/>
    <w:basedOn w:val="Policepardfaut"/>
    <w:link w:val="En-tte"/>
    <w:uiPriority w:val="99"/>
    <w:rsid w:val="00D00D5F"/>
  </w:style>
  <w:style w:type="paragraph" w:styleId="Pieddepage">
    <w:name w:val="footer"/>
    <w:basedOn w:val="Normal"/>
    <w:link w:val="PieddepageCar"/>
    <w:uiPriority w:val="99"/>
    <w:unhideWhenUsed/>
    <w:rsid w:val="00D00D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0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888</Words>
  <Characters>4890</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CHEFDEVILLE Herve</cp:lastModifiedBy>
  <cp:revision>2</cp:revision>
  <cp:lastPrinted>2022-08-19T16:49:00Z</cp:lastPrinted>
  <dcterms:created xsi:type="dcterms:W3CDTF">2022-08-19T16:59:00Z</dcterms:created>
  <dcterms:modified xsi:type="dcterms:W3CDTF">2022-08-19T16:59:00Z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26f538-337a-4593-a7e6-123667b1a538_Enabled">
    <vt:lpwstr>true</vt:lpwstr>
  </property>
  <property fmtid="{D5CDD505-2E9C-101B-9397-08002B2CF9AE}" pid="3" name="MSIP_Label_2d26f538-337a-4593-a7e6-123667b1a538_SetDate">
    <vt:lpwstr>2022-08-19T10:33:03Z</vt:lpwstr>
  </property>
  <property fmtid="{D5CDD505-2E9C-101B-9397-08002B2CF9AE}" pid="4" name="MSIP_Label_2d26f538-337a-4593-a7e6-123667b1a538_Method">
    <vt:lpwstr>Standard</vt:lpwstr>
  </property>
  <property fmtid="{D5CDD505-2E9C-101B-9397-08002B2CF9AE}" pid="5" name="MSIP_Label_2d26f538-337a-4593-a7e6-123667b1a538_Name">
    <vt:lpwstr>C1 Interne</vt:lpwstr>
  </property>
  <property fmtid="{D5CDD505-2E9C-101B-9397-08002B2CF9AE}" pid="6" name="MSIP_Label_2d26f538-337a-4593-a7e6-123667b1a538_SiteId">
    <vt:lpwstr>e242425b-70fc-44dc-9ddf-c21e304e6c80</vt:lpwstr>
  </property>
  <property fmtid="{D5CDD505-2E9C-101B-9397-08002B2CF9AE}" pid="7" name="MSIP_Label_2d26f538-337a-4593-a7e6-123667b1a538_ActionId">
    <vt:lpwstr>22f1f75e-b9a1-41d1-8d1e-03721bb51821</vt:lpwstr>
  </property>
  <property fmtid="{D5CDD505-2E9C-101B-9397-08002B2CF9AE}" pid="8" name="MSIP_Label_2d26f538-337a-4593-a7e6-123667b1a538_ContentBits">
    <vt:lpwstr>0</vt:lpwstr>
  </property>
</Properties>
</file>